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bookmarkStart w:id="0" w:name="_GoBack"/>
      <w:bookmarkEnd w:id="0"/>
      <w:r w:rsidRPr="000E293D">
        <w:rPr>
          <w:rFonts w:ascii="Times New Roman" w:eastAsia="SchoolBookSanPin" w:hAnsi="Times New Roman" w:cs="Times New Roman"/>
          <w:sz w:val="28"/>
          <w:szCs w:val="28"/>
        </w:rPr>
        <w:t>Система оценки достижения планируемых результатов освоения ФОП НОО.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1. Основой объективной оценки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соответствия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установленным требованиям образовательной деятельности и подготовки обучающихся, освоивших ООП НОО, является ФГОС НОО независимо от формы получения начального общего образования и формы обучения. Таким образом, ФГОС НОО определяет основные требования к образовательным результатам обучающихся и средствам оценки их достижения.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2. Система оценки достижения планируемых результатов (далее – система оценки)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функциями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являются: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ориентация образовательного процесса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на достижение планируемых результатов освоения ФОП НОО и обеспечение эффективной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обратной связи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, позволяющей осуществлять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управление образовательным процессом.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4. Основными направлениями и целями оценочной деятельности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>в образовательной организации являются: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оценка результатов деятельности педагогических работников как основа аттестационных процедур;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оценка результатов деятельности образовательной организации как основа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аккредитационных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процедур.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5. Основным объектом системы оценки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, её содержательной и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критериальной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базой выступают требования ФГОС НОО, которые конкретизируются в планируемых результатах освоения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ФОП НОО.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6. Система оценки включает процедуры внутренней и внешней оценки.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7. Внутренняя оценка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>включает: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стартовую диагностику;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текущую и тематическую оценки;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итоговую оценку;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промежуточную аттестацию;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психолого-педагогическое наблюдение;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внутренний мониторинг образовательных достижений обучающихся.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8. Внешняя оценка включает: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независимую оценку качества подготовки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proofErr w:type="gramEnd"/>
      <w:r w:rsidRPr="000E293D">
        <w:rPr>
          <w:rFonts w:ascii="Calibri" w:eastAsia="SchoolBookSanPin" w:hAnsi="Calibri" w:cs="Times New Roman"/>
          <w:sz w:val="28"/>
          <w:szCs w:val="28"/>
          <w:vertAlign w:val="superscript"/>
        </w:rPr>
        <w:footnoteReference w:id="1"/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>;</w:t>
      </w:r>
    </w:p>
    <w:p w:rsidR="000E293D" w:rsidRPr="000E293D" w:rsidRDefault="000E293D" w:rsidP="000E293D">
      <w:pPr>
        <w:widowControl w:val="0"/>
        <w:tabs>
          <w:tab w:val="left" w:pos="709"/>
          <w:tab w:val="left" w:pos="851"/>
        </w:tabs>
        <w:spacing w:after="0" w:line="35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итоговую аттестацию.</w:t>
      </w:r>
      <w:r w:rsidRPr="000E293D">
        <w:rPr>
          <w:rFonts w:ascii="Calibri" w:eastAsia="SchoolBookSanPin" w:hAnsi="Calibri" w:cs="Times New Roman"/>
          <w:sz w:val="28"/>
          <w:szCs w:val="28"/>
          <w:vertAlign w:val="superscript"/>
        </w:rPr>
        <w:footnoteReference w:id="2"/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9. В соответствии с ФГОС НОО система оценки образовательной организации реализует системно-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деятельностный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>, уровневый и комплексный подходы к оценке образовательных достижений.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10. Системно-</w:t>
      </w:r>
      <w:proofErr w:type="spellStart"/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деятельностный</w:t>
      </w:r>
      <w:proofErr w:type="spellEnd"/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 подход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деятельностной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форме.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11. Уровневый подход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к оценке образовательных достижений обучающихся служит основой для организации индивидуальной работы с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. Он реализуется как по отношению к содержанию оценки, так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и к представлению и интерпретации результатов измерений.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12. Уровневый подход к оценке образовательных достижений обучающихся реализуется за счёт фиксации различных уровней достижения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планируемых результатов. Достижение базового уровня свидетельствует о способности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13. Комплексный подход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к оценке образовательных достижений реализуется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через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оценку предметных и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результатов;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другие) для интерпретации полученных результатов в целях управления качеством образования;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использование разнообразных методов и форм оценки, взаимно дополняющих друг друга, в том числе оценок творческих работ, наблюдения;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взаимооценка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>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>14. Целью оценки личностных достижений обучающихся является получение общего представления о воспитательной деятельности образовательной организац</w:t>
      </w:r>
      <w:proofErr w:type="gramStart"/>
      <w:r w:rsidRPr="000E293D">
        <w:rPr>
          <w:rFonts w:ascii="Times New Roman" w:eastAsia="Calibri" w:hAnsi="Times New Roman" w:cs="Times New Roman"/>
          <w:sz w:val="28"/>
          <w:szCs w:val="28"/>
        </w:rPr>
        <w:t>ии и её</w:t>
      </w:r>
      <w:proofErr w:type="gramEnd"/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 влиянии на коллектив обучающихся.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>15. </w:t>
      </w:r>
      <w:proofErr w:type="gramStart"/>
      <w:r w:rsidRPr="000E293D">
        <w:rPr>
          <w:rFonts w:ascii="Times New Roman" w:eastAsia="Calibri" w:hAnsi="Times New Roman" w:cs="Times New Roman"/>
          <w:sz w:val="28"/>
          <w:szCs w:val="28"/>
        </w:rPr>
        <w:t>При оценке личностных результатов необходимо соблюдение этических норм и правил взаимодействия с обучающимся с учётом его индивидуально-психологических особенностей развития.</w:t>
      </w:r>
      <w:proofErr w:type="gramEnd"/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16. Личностные достижения обучающихся, освоивших ФОП НОО, </w:t>
      </w:r>
      <w:r w:rsidRPr="000E293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включают две группы результатов: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основы российской гражданской идентичности, ценностные установки и социально значимые качества личности;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готовность </w:t>
      </w:r>
      <w:proofErr w:type="gramStart"/>
      <w:r w:rsidRPr="000E293D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 к саморазвитию, мотивация к познанию и обучению, активное участие в социально значимой деятельности.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17. Учитывая особенности групп личностных результатов, учитель может осуществлять оценку только следующих качеств: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>наличие и характеристика мотива познания и учения;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>наличие умений принимать и удерживать учебную задачу, планировать учебные действия;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способность осуществлять самоконтроль и самооценку.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Диагностические задания, устанавливающие уровень этих качеств, целесообразно интегрировать с заданиями по оценке </w:t>
      </w:r>
      <w:proofErr w:type="spellStart"/>
      <w:r w:rsidRPr="000E293D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 регулятивных универсальных учебных действий.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Calibri" w:hAnsi="Times New Roman" w:cs="Times New Roman"/>
          <w:sz w:val="28"/>
          <w:szCs w:val="28"/>
        </w:rPr>
        <w:t>18. 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Оценка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результатов осуществляется через оценку достижения планируемых результатов освоения ФОП НОО, которые отражают совокупность познавательных, коммуникативных и регулятивных универсальных учебных действий.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19. Формирование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20. Оценка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результатов проводится с целью определения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сформированности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познавательных универсальных учебных действий;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коммуникативных универсальных учебных действий;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регулятивных универсальных учебных действий.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21. Овладение познавательными универсальными учебными действиями предполагает формирование и оценку у обучающихся базовых логических действий, базовых исследовательских действий, умений работать с информацией.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22. Овладение базовыми логическими действиями обеспечивает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формирование у обучающихся умений: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объединять части объекта (объекты) по определённому признаку;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23. Овладение базовыми исследовательскими действиями обеспечивает формирование у обучающихся умений: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 помощью учителя формулировать цель, планировать изменения объекта, ситуации;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подходящий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24. Работа с информацией как одно из познавательных универсальных учебных действий обеспечивает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сформированность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 обучающихся умений: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выбирать источник получения информации;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в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информацинно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>-телекоммуникационной сети Интернет (далее – Интернет);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о-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25. 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26. Общение как одно из коммуникативных универсальных учебных действий обеспечивает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сформированность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 обучающихся умений: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27. Совместная деятельность как одно из коммуникативных универсальных учебных действий обеспечивает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сформированность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 обучающихся умений: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ответственно выполнять свою часть работы;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оценивать свой вклад в общий результат;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28. 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(планировать действия по решению учебной задачи для получения результата, выстраивать последовательность выбранных действий) и самоконтроля (устанавливать причины успеха (неудач) в учебной деятельности, корректировать свои учебные действия для преодоления ошибок).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29. Оценка достижения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результатов осуществляется как учителем в ходе текущей и промежуточной оценки по учебному предмету, так и администрацией образовательной организации в ходе мониторинга. В текущем учебном процессе отслеживается способность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30. В ходе мониторинга проводится оценка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сформированности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универсальных учебных действий. Содержание и периодичность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мониторинга устанавливаются решением педагогического совета образовательной организации. Инструментарий для оценки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сформированности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универсальных учебных действий строится на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межпредметной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основе и может включать диагностические материалы по оценке функциональной грамотности,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сформированности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регулятивных, коммуникативных и познавательных учебных действий.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31. Предметные результаты освоения ООП НОО с учетом специфики содержания предметных областей, включающих конкретные учебные предметы, ориентированы на применение знаний, умений и навыков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в учебных ситуациях и реальных жизненных условиях, а также на успешное обучение.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32. Оценка предметных результатов освоения ООП НОО осуществляется через оценку достижения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планируемых результатов по отдельным учебным предметам.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33. Основным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предметом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оценки результатов освоения ООП НОО в соответствии с требованиями ФГОС НОО является способность к решению учебно-познавательных и учебно-практических задач, основанных на изучаемом учебном материале и способах действий, в том числе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(познавательных, регулятивных, коммуникативных) действий.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34. Оценка предметных результатов освоения ООП НОО осуществляется учителем в ходе процедур текущего, тематического, промежуточного и итогового контроля.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35. Особенности оценки предметных результатов по отдельному учебному предмету фиксируются в приложении к ООП НОО.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Описание оценки предметных результатов по отдельному учебному предмету должно включать: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 (тематическая); устно (письменно), практика);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требования к выставлению отметок за промежуточную аттестацию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(при необходимости – с учётом степени значимости отметок за отдельные оценочные процедуры);</w:t>
      </w:r>
    </w:p>
    <w:p w:rsidR="000E293D" w:rsidRPr="000E293D" w:rsidRDefault="000E293D" w:rsidP="000E293D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график контрольных мероприятий.</w:t>
      </w:r>
      <w:r w:rsidRPr="000E29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36. Стартовая диагностика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проводится администрацией образовательной организации с целью оценки готовности к обучению на уровне начального общего образования.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36.1. Стартовая диагностика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проводится в начале 1 класса и выступает как основа (точка отсчёта) для оценки динамики образовательных достижений обучающихся. Объектом оценки в рамках стартовой диагностики является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сформированность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предпосылок учебной деятельности, готовность к овладению чтением, грамотой и счётом.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36.2. Стартовая диагностика может проводиться педагогическими работниками с целью оценки готовности к изучению отдельных учебных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 xml:space="preserve">37. Текущая оценка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>направлена на оценку индивидуального продвижения обучающегося в освоении программы учебного предмета.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37.1. Текущая оценка может быть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формирующей (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0E293D">
        <w:rPr>
          <w:rFonts w:ascii="Times New Roman" w:eastAsia="SchoolBookSanPin" w:hAnsi="Times New Roman" w:cs="Times New Roman"/>
          <w:bCs/>
          <w:sz w:val="28"/>
          <w:szCs w:val="28"/>
        </w:rPr>
        <w:t>диагностической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t>, способствующей выявлению и осознанию учителем и обучающимся существующих проблем в обучении.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37.2. Объектом текущей оценки являются тематические планируемые результаты,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этапы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освоения которых зафиксированы в тематическом планировании по учебному предмету.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37.3. 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о-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и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взаимооценка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, рефлексия, листы продвижения и другие) с учётом особенностей учебного предмета.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37.4. Результаты текущей оценки являются основой для </w:t>
      </w:r>
      <w:r w:rsidRPr="000E293D">
        <w:rPr>
          <w:rFonts w:ascii="Times New Roman" w:eastAsia="SchoolBookSanPin" w:hAnsi="Times New Roman" w:cs="Times New Roman"/>
          <w:sz w:val="28"/>
          <w:szCs w:val="28"/>
        </w:rPr>
        <w:lastRenderedPageBreak/>
        <w:t>индивидуализации учебного процесса.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38. Тематическая оценка направлена на оценку уровня достижения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обучающимися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тематических планируемых результатов по учебному предмету.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39. Промежуточная аттестация </w:t>
      </w:r>
      <w:proofErr w:type="gramStart"/>
      <w:r w:rsidRPr="000E293D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proofErr w:type="gram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проводится, начиная со 2 класса, в конце каждого учебного периода по каждому изучаемому учебному предмету. 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40. 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>41. Промежуточная оценка, фиксирующая достижение предметных планируемых результатов и универсальных учебных действий, является основанием для перевода обучающихся в следующий класс.</w:t>
      </w:r>
    </w:p>
    <w:p w:rsidR="000E293D" w:rsidRPr="000E293D" w:rsidRDefault="000E293D" w:rsidP="000E293D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42. 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предмету. Предметом итоговой оценки является способность обучающихся решать учебно-познавательные и учебно-практические задачи, построенные на основном содержании учебного предмета с учётом формируемых </w:t>
      </w:r>
      <w:proofErr w:type="spellStart"/>
      <w:r w:rsidRPr="000E293D">
        <w:rPr>
          <w:rFonts w:ascii="Times New Roman" w:eastAsia="SchoolBookSanPin" w:hAnsi="Times New Roman" w:cs="Times New Roman"/>
          <w:sz w:val="28"/>
          <w:szCs w:val="28"/>
        </w:rPr>
        <w:t>метапредметных</w:t>
      </w:r>
      <w:proofErr w:type="spellEnd"/>
      <w:r w:rsidRPr="000E293D">
        <w:rPr>
          <w:rFonts w:ascii="Times New Roman" w:eastAsia="SchoolBookSanPin" w:hAnsi="Times New Roman" w:cs="Times New Roman"/>
          <w:sz w:val="28"/>
          <w:szCs w:val="28"/>
        </w:rPr>
        <w:t xml:space="preserve"> действий.</w:t>
      </w:r>
    </w:p>
    <w:p w:rsidR="00F8694E" w:rsidRDefault="00F8694E"/>
    <w:sectPr w:rsidR="00F8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6E" w:rsidRDefault="0038166E" w:rsidP="000E293D">
      <w:pPr>
        <w:spacing w:after="0" w:line="240" w:lineRule="auto"/>
      </w:pPr>
      <w:r>
        <w:separator/>
      </w:r>
    </w:p>
  </w:endnote>
  <w:endnote w:type="continuationSeparator" w:id="0">
    <w:p w:rsidR="0038166E" w:rsidRDefault="0038166E" w:rsidP="000E2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6E" w:rsidRDefault="0038166E" w:rsidP="000E293D">
      <w:pPr>
        <w:spacing w:after="0" w:line="240" w:lineRule="auto"/>
      </w:pPr>
      <w:r>
        <w:separator/>
      </w:r>
    </w:p>
  </w:footnote>
  <w:footnote w:type="continuationSeparator" w:id="0">
    <w:p w:rsidR="0038166E" w:rsidRDefault="0038166E" w:rsidP="000E293D">
      <w:pPr>
        <w:spacing w:after="0" w:line="240" w:lineRule="auto"/>
      </w:pPr>
      <w:r>
        <w:continuationSeparator/>
      </w:r>
    </w:p>
  </w:footnote>
  <w:footnote w:id="1">
    <w:p w:rsidR="000E293D" w:rsidRPr="00C77D24" w:rsidRDefault="000E293D" w:rsidP="000E293D">
      <w:pPr>
        <w:pStyle w:val="a3"/>
      </w:pPr>
      <w:r>
        <w:rPr>
          <w:rStyle w:val="a5"/>
        </w:rPr>
        <w:footnoteRef/>
      </w:r>
      <w:r>
        <w:t xml:space="preserve"> </w:t>
      </w:r>
      <w:r w:rsidRPr="00C77D24">
        <w:rPr>
          <w:rFonts w:ascii="Times New Roman" w:hAnsi="Times New Roman"/>
          <w:sz w:val="24"/>
          <w:szCs w:val="24"/>
        </w:rPr>
        <w:t>Статья 95 Федерального закона от 29 декабря 2012 г. № 273-ФЗ «Об образовании в Российской Федерации».</w:t>
      </w:r>
    </w:p>
  </w:footnote>
  <w:footnote w:id="2">
    <w:p w:rsidR="000E293D" w:rsidRDefault="000E293D" w:rsidP="000E293D">
      <w:pPr>
        <w:pStyle w:val="a3"/>
        <w:jc w:val="both"/>
      </w:pPr>
      <w:r w:rsidRPr="00C77D24">
        <w:rPr>
          <w:rStyle w:val="a5"/>
        </w:rPr>
        <w:footnoteRef/>
      </w:r>
      <w:r w:rsidRPr="00C77D24">
        <w:t xml:space="preserve"> </w:t>
      </w:r>
      <w:r w:rsidRPr="00C77D24">
        <w:rPr>
          <w:rFonts w:ascii="Times New Roman" w:hAnsi="Times New Roman"/>
          <w:sz w:val="24"/>
          <w:szCs w:val="24"/>
        </w:rPr>
        <w:t>Статья 59 Федерального закона от 29 декабря 2012 г. № 273-ФЗ «Об образовании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D24">
        <w:rPr>
          <w:rFonts w:ascii="Times New Roman" w:hAnsi="Times New Roman"/>
          <w:sz w:val="24"/>
          <w:szCs w:val="24"/>
        </w:rPr>
        <w:t>в Российской Федерации».</w:t>
      </w:r>
    </w:p>
    <w:p w:rsidR="000E293D" w:rsidRDefault="000E293D" w:rsidP="000E293D">
      <w:pPr>
        <w:pStyle w:val="a3"/>
        <w:tabs>
          <w:tab w:val="left" w:pos="3431"/>
        </w:tabs>
      </w:pPr>
      <w: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3D"/>
    <w:rsid w:val="000E293D"/>
    <w:rsid w:val="00233337"/>
    <w:rsid w:val="0038166E"/>
    <w:rsid w:val="00F8694E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E293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E293D"/>
    <w:rPr>
      <w:sz w:val="20"/>
      <w:szCs w:val="20"/>
    </w:rPr>
  </w:style>
  <w:style w:type="character" w:styleId="a5">
    <w:name w:val="footnote reference"/>
    <w:uiPriority w:val="99"/>
    <w:unhideWhenUsed/>
    <w:rsid w:val="000E29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E293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E293D"/>
    <w:rPr>
      <w:sz w:val="20"/>
      <w:szCs w:val="20"/>
    </w:rPr>
  </w:style>
  <w:style w:type="character" w:styleId="a5">
    <w:name w:val="footnote reference"/>
    <w:uiPriority w:val="99"/>
    <w:unhideWhenUsed/>
    <w:rsid w:val="000E2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Кадрия</dc:creator>
  <cp:lastModifiedBy>214-1</cp:lastModifiedBy>
  <cp:revision>2</cp:revision>
  <dcterms:created xsi:type="dcterms:W3CDTF">2023-09-15T10:57:00Z</dcterms:created>
  <dcterms:modified xsi:type="dcterms:W3CDTF">2023-09-15T10:57:00Z</dcterms:modified>
</cp:coreProperties>
</file>